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88A5" w14:textId="77777777" w:rsidR="0083031E" w:rsidRPr="00637A57" w:rsidRDefault="003D6DBA" w:rsidP="00637A57">
      <w:pPr>
        <w:pStyle w:val="af1"/>
        <w:jc w:val="center"/>
        <w:rPr>
          <w:rFonts w:ascii="Times New Roman" w:eastAsiaTheme="minorHAnsi" w:hAnsi="Times New Roman" w:cs="Times New Roman"/>
          <w:sz w:val="22"/>
          <w:szCs w:val="22"/>
          <w:highlight w:val="white"/>
          <w:lang w:val="ru-RU" w:bidi="ar-SA"/>
        </w:rPr>
      </w:pPr>
      <w:r w:rsidRPr="00637A57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drawing>
          <wp:inline distT="0" distB="0" distL="0" distR="0" wp14:anchorId="31FA3BAF" wp14:editId="67D08928">
            <wp:extent cx="2824682" cy="1448554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98" cy="14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0021" w14:textId="77777777" w:rsidR="00637A57" w:rsidRPr="00637A57" w:rsidRDefault="00637A57" w:rsidP="00637A57">
      <w:pPr>
        <w:pStyle w:val="af1"/>
        <w:rPr>
          <w:rFonts w:ascii="Times New Roman" w:eastAsiaTheme="minorHAnsi" w:hAnsi="Times New Roman" w:cs="Times New Roman"/>
          <w:sz w:val="22"/>
          <w:szCs w:val="22"/>
          <w:highlight w:val="white"/>
          <w:lang w:val="ru-RU" w:bidi="ar-SA"/>
        </w:rPr>
      </w:pPr>
    </w:p>
    <w:p w14:paraId="506FB1D4" w14:textId="77777777" w:rsidR="009057FB" w:rsidRPr="002D1549" w:rsidRDefault="00DA214A" w:rsidP="00637A57">
      <w:pPr>
        <w:pStyle w:val="af1"/>
        <w:jc w:val="center"/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</w:pPr>
      <w:r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Мала</w:t>
      </w:r>
      <w:r w:rsidR="005A6AB6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сс</w:t>
      </w:r>
      <w:r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езия</w:t>
      </w:r>
      <w:r w:rsidR="009057FB"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-СкринТест</w:t>
      </w:r>
    </w:p>
    <w:p w14:paraId="6805E290" w14:textId="77777777" w:rsidR="009057FB" w:rsidRPr="009B7FF1" w:rsidRDefault="003B3D61" w:rsidP="00637A57">
      <w:pPr>
        <w:pStyle w:val="af1"/>
        <w:jc w:val="center"/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С</w:t>
      </w:r>
      <w:r w:rsidR="009057FB" w:rsidRPr="00637A57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крининг-тест для быстрого выявления </w:t>
      </w:r>
      <w:r w:rsidR="002D1549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2D1549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цези</w:t>
      </w:r>
      <w:r w:rsidR="009B7FF1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и</w:t>
      </w:r>
    </w:p>
    <w:p w14:paraId="44D19244" w14:textId="77777777" w:rsidR="00637A57" w:rsidRPr="00637A57" w:rsidRDefault="00637A57" w:rsidP="00637A57">
      <w:pPr>
        <w:pStyle w:val="af1"/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</w:p>
    <w:p w14:paraId="36E52062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</w:pPr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  <w:t>ВВЕДЕНИЕ</w:t>
      </w:r>
    </w:p>
    <w:p w14:paraId="0F1815BD" w14:textId="77777777" w:rsidR="00DA214A" w:rsidRPr="002D1549" w:rsidRDefault="00DA214A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highlight w:val="black"/>
          <w:shd w:val="clear" w:color="auto" w:fill="FFFFFF"/>
          <w:lang w:val="ru-RU"/>
        </w:rPr>
      </w:pP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сс</w:t>
      </w: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езия</w:t>
      </w: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– это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дрожжевой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грибок, который обитает на коже большинства собак.При ослаблении иммунитета микромицета прорастает, поражая слуховые </w:t>
      </w:r>
      <w:r w:rsidRPr="002D154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каналы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морду, анальную складку, </w:t>
      </w:r>
      <w:r w:rsidRPr="002D154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межпальцевые пространства.</w:t>
      </w:r>
    </w:p>
    <w:p w14:paraId="2A06A7BD" w14:textId="77777777" w:rsidR="0045739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сс</w:t>
      </w:r>
      <w:r w:rsidR="00AE4AF9"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е</w:t>
      </w: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зия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– липофильный дрожжевой грибок, который является симбиотическим организмом, живущим на коже и слизистых оболочках здоровых собак и кошек.</w:t>
      </w:r>
      <w:r w:rsidR="003D44E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Чаще всего </w:t>
      </w: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</w:rPr>
        <w:t>Malassezia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выделяют в области губ, межпальцевых складок кожи, наружного слухового прохода, параанальных желез, влагалища. В норме мала</w:t>
      </w:r>
      <w:r w:rsidR="003D44E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сс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езия тесно сотрудничает с иммунитетом животного: обеспечивает особую защиту кожным покровам, препятствует проникновению болезнетворных микроорганизмов. Возбудитель получает защиту и теплую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среду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обитания.</w:t>
      </w:r>
    </w:p>
    <w:p w14:paraId="5C5DBA5A" w14:textId="77777777" w:rsidR="00D20E31" w:rsidRPr="0045739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Патологическому размножению грибов  способствуют нарушение естественной резистентности организма и изменения в состоянии кожного микроклимата:</w:t>
      </w:r>
    </w:p>
    <w:p w14:paraId="12C2ED7C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Изменение интенсивности секреции сальных желез</w:t>
      </w:r>
    </w:p>
    <w:p w14:paraId="5B1D58E8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Чрезмерное образование ушной серы</w:t>
      </w:r>
    </w:p>
    <w:p w14:paraId="0FE8923A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Кожные воспалительные явления</w:t>
      </w:r>
    </w:p>
    <w:p w14:paraId="683E7BA8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Себорея</w:t>
      </w:r>
    </w:p>
    <w:p w14:paraId="401ACBE6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Повышенная потливость, особенно в кожных складках</w:t>
      </w:r>
    </w:p>
    <w:p w14:paraId="5F0D17A9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Иммуносупрессивная кортикостероидная терапия</w:t>
      </w:r>
    </w:p>
    <w:p w14:paraId="145197D2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Длительная антибиотикотерапия</w:t>
      </w:r>
    </w:p>
    <w:p w14:paraId="193A1C92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Демодекоз</w:t>
      </w:r>
    </w:p>
    <w:p w14:paraId="6566D93D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Гипотиреоз</w:t>
      </w:r>
    </w:p>
    <w:p w14:paraId="35A8EEF3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Атопический дерматит</w:t>
      </w:r>
    </w:p>
    <w:p w14:paraId="2CE3A86F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Не соблюдение гигиенических норм, в особенности у длинноухих пород.</w:t>
      </w:r>
    </w:p>
    <w:p w14:paraId="34C18118" w14:textId="77777777" w:rsid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62AA28A" wp14:editId="6CAA6E42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363B" w14:textId="77777777" w:rsid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675E55" w14:textId="77777777" w:rsidR="00FE794C" w:rsidRP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  <w:r w:rsidRPr="00E10CFD">
        <w:rPr>
          <w:b/>
          <w:bCs/>
          <w:color w:val="000000"/>
          <w:sz w:val="18"/>
          <w:szCs w:val="18"/>
        </w:rPr>
        <w:t xml:space="preserve">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C9AC81B" w14:textId="77777777" w:rsidR="00FE794C" w:rsidRPr="00FE794C" w:rsidRDefault="00FE794C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14:paraId="08FB9CDD" w14:textId="77777777" w:rsidR="008A7192" w:rsidRPr="002D154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сс</w:t>
      </w:r>
      <w:r w:rsidR="004E2EDA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</w:t>
      </w:r>
      <w:r w:rsidR="004E2EDA"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иоз</w:t>
      </w:r>
      <w:r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наиболее типичен для собак, заражение кошек встречается достаточно редко.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Хотя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следует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отметить, что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мала</w:t>
      </w:r>
      <w:r w:rsidR="004E2EDA"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ц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езия является симбионитом практически всех теплокровных животных, в том числе и птиц.</w:t>
      </w:r>
    </w:p>
    <w:p w14:paraId="37BD70E0" w14:textId="77777777" w:rsidR="008A7192" w:rsidRPr="002D1549" w:rsidRDefault="008A7192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14:paraId="79A009C1" w14:textId="77777777" w:rsidR="008E59A2" w:rsidRPr="008E59A2" w:rsidRDefault="008E59A2" w:rsidP="008E59A2">
      <w:pPr>
        <w:pStyle w:val="af1"/>
        <w:jc w:val="center"/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  <w:t>НАЗНАЧЕНИЕ</w:t>
      </w:r>
    </w:p>
    <w:p w14:paraId="0BA31CCA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езия-СкринТест</w:t>
      </w:r>
      <w:r w:rsidR="00736E2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 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предназначен для диагностики 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езии  у собак, кошек, кроликов и лошадей. </w:t>
      </w:r>
    </w:p>
    <w:p w14:paraId="0B94259D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езия-СкринТест - это быстрый, простой и легкий в проведении анализ, который позволяет ветеринарному врачу, не являющемуся микологом, диагностировать инфекцию до начала лечения без специализированного оборудования. </w:t>
      </w:r>
    </w:p>
    <w:p w14:paraId="4D739C4D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</w:p>
    <w:p w14:paraId="67400C83" w14:textId="77777777" w:rsidR="008E59A2" w:rsidRPr="008E59A2" w:rsidRDefault="008E59A2" w:rsidP="008E59A2">
      <w:pPr>
        <w:pStyle w:val="af1"/>
        <w:jc w:val="center"/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  <w:t>ДИАГНОСТИЧЕСКИЕ МЕТОДЫ</w:t>
      </w:r>
    </w:p>
    <w:p w14:paraId="1F2CF5ED" w14:textId="77777777" w:rsidR="00637A57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Существуют различные методы и процедуры для проверки на малацезию, однако микологический культуральный метод является наиболее простым, точным и экономически эффективным средством диагностики.</w:t>
      </w:r>
      <w:r w:rsidR="003D44E9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 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Микологический культуральный метод признается как золотой стандарт для диагностики. Помимо визуальных наблюдений, основным способом определения возбудителя болезни является забор кожных анализов. Культуральные исследования являются наиболее чувствительными средствами диагностики.</w:t>
      </w:r>
    </w:p>
    <w:p w14:paraId="1AE35400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bCs/>
          <w:sz w:val="22"/>
          <w:szCs w:val="22"/>
          <w:lang w:val="ru-RU"/>
        </w:rPr>
      </w:pPr>
    </w:p>
    <w:p w14:paraId="1E1A41BE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bookmarkStart w:id="0" w:name="bookmark43"/>
      <w:bookmarkStart w:id="1" w:name="bookmark44"/>
      <w:bookmarkStart w:id="2" w:name="bookmark45"/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МЕСТО ХРАНЕНИЯ</w:t>
      </w:r>
    </w:p>
    <w:p w14:paraId="7058E346" w14:textId="77777777" w:rsidR="009057FB" w:rsidRPr="00637A57" w:rsidRDefault="009057FB" w:rsidP="00457399">
      <w:pPr>
        <w:pStyle w:val="af1"/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Если тест хранится 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от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+2 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до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+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8</w:t>
      </w:r>
      <w:r w:rsidR="000C2ABC" w:rsidRP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°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C, стабильность гарантируется в течение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12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месяцев. Если тест хранится при комнатной температуре, стабильность гарантируется в т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ечение примерно 6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месяцев.</w:t>
      </w:r>
    </w:p>
    <w:p w14:paraId="1D13D8B0" w14:textId="77777777" w:rsidR="00637A57" w:rsidRPr="00637A57" w:rsidRDefault="00637A57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1D6C8CEA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ТЕСТОВАЯ ПРОЦЕДУРА</w:t>
      </w:r>
    </w:p>
    <w:p w14:paraId="6866B097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• Проверьте место отбора проб, чтобы убедиться, что он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не бы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ло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обработан медикаментами, которые могут повлиять на результаты.</w:t>
      </w:r>
    </w:p>
    <w:p w14:paraId="46918AEA" w14:textId="77777777" w:rsidR="009057FB" w:rsidRPr="00637A57" w:rsidRDefault="00BD4C0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Бактериальное </w:t>
      </w:r>
      <w:r w:rsidR="009057F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загрязнение можно уменьшить, аккуратно очистив место, из которого отбирается проба, 70% спиртом.</w:t>
      </w:r>
    </w:p>
    <w:p w14:paraId="588B08B9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lastRenderedPageBreak/>
        <w:t>• Используя стерильное лезвие скальпеля, удалите чешуйки и / или волосы с границы поражения.</w:t>
      </w:r>
    </w:p>
    <w:p w14:paraId="68DA999D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Поместите образец на поверхность питательной среды, не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повреждая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ее.</w:t>
      </w:r>
    </w:p>
    <w:p w14:paraId="25441845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Закройте трубку, не затягивая крышку полностью, чтобы избежать образования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конденсата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4063C8B0" w14:textId="77777777" w:rsidR="00682B41" w:rsidRPr="00987E9F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Инкубируйте при комнатной температуре (22-25 °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C) в течение периода испытаний.(3-10 дней)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Проверяйте ежедневно на предмет измене</w:t>
      </w:r>
      <w:r w:rsidR="00987E9F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ния цвета среды и роста колоний</w:t>
      </w:r>
    </w:p>
    <w:p w14:paraId="4F16D590" w14:textId="77777777" w:rsidR="0082467A" w:rsidRPr="0076505B" w:rsidRDefault="00BD4C0B" w:rsidP="00457399">
      <w:pPr>
        <w:pStyle w:val="af1"/>
        <w:jc w:val="center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76505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  <w:t>РЕЗУЛЬТАТЫ</w:t>
      </w:r>
    </w:p>
    <w:p w14:paraId="3A0BD60C" w14:textId="77777777" w:rsidR="002D1549" w:rsidRDefault="00BD4C0B" w:rsidP="00457399">
      <w:pPr>
        <w:pStyle w:val="af1"/>
        <w:ind w:firstLine="567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Среда содержит индикатор, который изменяется, когда в образце пациента присутствуют </w:t>
      </w:r>
      <w:r w:rsidR="004E2EDA"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возбудитель. </w:t>
      </w:r>
    </w:p>
    <w:p w14:paraId="731F50F0" w14:textId="77777777" w:rsidR="002D1549" w:rsidRDefault="00BD4C0B" w:rsidP="00457399">
      <w:pPr>
        <w:pStyle w:val="af1"/>
        <w:ind w:firstLine="567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Периодически исследуйте реакционный субстрат в каждой пробирке. </w:t>
      </w:r>
    </w:p>
    <w:p w14:paraId="13710B70" w14:textId="77777777" w:rsidR="00BD4C0B" w:rsidRPr="002D1549" w:rsidRDefault="00BD4C0B" w:rsidP="00457399">
      <w:pPr>
        <w:pStyle w:val="af1"/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/>
        </w:rPr>
      </w:pP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Специальные питательные вещества были добавлены в среду </w:t>
      </w:r>
      <w:r w:rsidR="00A959BA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A959BA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езия</w:t>
      </w:r>
      <w:r w:rsidR="001E219E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-СкринТест</w:t>
      </w: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, чтобы способствовать росту </w:t>
      </w:r>
      <w:r w:rsidR="00E5463B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E5463B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езии</w:t>
      </w: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. </w:t>
      </w:r>
      <w:r w:rsidR="0083031E"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Обычно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положительные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результаты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будут видны примерно через 72 часа.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Однако в зависимости от различных факторов, включая тип микроорганизма, количество отбираемого материала и стадию заболевания, может потребоваться более длительный инкубационный период.</w:t>
      </w:r>
    </w:p>
    <w:bookmarkEnd w:id="0"/>
    <w:bookmarkEnd w:id="1"/>
    <w:bookmarkEnd w:id="2"/>
    <w:p w14:paraId="72D09217" w14:textId="77777777" w:rsidR="00294D7E" w:rsidRPr="002D1549" w:rsidRDefault="00294D7E" w:rsidP="00457399">
      <w:pPr>
        <w:pStyle w:val="af1"/>
        <w:jc w:val="both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4681645B" w14:textId="77777777" w:rsidR="009057FB" w:rsidRDefault="00886922" w:rsidP="00457399">
      <w:pPr>
        <w:pStyle w:val="af1"/>
        <w:jc w:val="center"/>
        <w:rPr>
          <w:rFonts w:ascii="Times New Roman" w:eastAsia="Meiryo" w:hAnsi="Times New Roman" w:cs="Times New Roman"/>
          <w:b/>
          <w:sz w:val="22"/>
          <w:szCs w:val="22"/>
          <w:lang w:val="ru-RU"/>
        </w:rPr>
      </w:pPr>
      <w:r w:rsidRPr="00637A57">
        <w:rPr>
          <w:rFonts w:ascii="Times New Roman" w:eastAsia="Meiryo" w:hAnsi="Times New Roman" w:cs="Times New Roman"/>
          <w:b/>
          <w:sz w:val="22"/>
          <w:szCs w:val="22"/>
        </w:rPr>
        <w:t>Макроскопическоеописаниеколоний</w:t>
      </w:r>
    </w:p>
    <w:p w14:paraId="6CF3D564" w14:textId="77777777" w:rsidR="00457399" w:rsidRPr="00457399" w:rsidRDefault="00457399" w:rsidP="00457399">
      <w:pPr>
        <w:pStyle w:val="af1"/>
        <w:jc w:val="both"/>
        <w:rPr>
          <w:rFonts w:ascii="Times New Roman" w:eastAsia="Meiryo" w:hAnsi="Times New Roman" w:cs="Times New Roman"/>
          <w:b/>
          <w:sz w:val="22"/>
          <w:szCs w:val="22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5"/>
        <w:gridCol w:w="3566"/>
      </w:tblGrid>
      <w:tr w:rsidR="00297BE6" w:rsidRPr="00637A57" w14:paraId="2D9E8C00" w14:textId="77777777" w:rsidTr="00987E9F">
        <w:trPr>
          <w:trHeight w:val="438"/>
        </w:trPr>
        <w:tc>
          <w:tcPr>
            <w:tcW w:w="3565" w:type="dxa"/>
            <w:shd w:val="clear" w:color="auto" w:fill="B8CCE4" w:themeFill="accent1" w:themeFillTint="66"/>
            <w:vAlign w:val="center"/>
          </w:tcPr>
          <w:p w14:paraId="614E5177" w14:textId="77777777" w:rsidR="00297BE6" w:rsidRPr="00637A57" w:rsidRDefault="00297BE6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</w:pPr>
            <w:r w:rsidRPr="00637A57"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  <w:t>Штаммы микроорганизмов</w:t>
            </w:r>
          </w:p>
        </w:tc>
        <w:tc>
          <w:tcPr>
            <w:tcW w:w="3566" w:type="dxa"/>
            <w:shd w:val="clear" w:color="auto" w:fill="B8CCE4" w:themeFill="accent1" w:themeFillTint="66"/>
            <w:vAlign w:val="center"/>
          </w:tcPr>
          <w:p w14:paraId="1498310D" w14:textId="77777777" w:rsidR="00297BE6" w:rsidRPr="00637A57" w:rsidRDefault="00297BE6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</w:pPr>
            <w:r w:rsidRPr="00637A57"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  <w:t>Цвет колоний</w:t>
            </w:r>
          </w:p>
        </w:tc>
      </w:tr>
      <w:tr w:rsidR="00297BE6" w:rsidRPr="00637A57" w14:paraId="1EFA06B7" w14:textId="77777777" w:rsidTr="00457399">
        <w:trPr>
          <w:trHeight w:val="443"/>
        </w:trPr>
        <w:tc>
          <w:tcPr>
            <w:tcW w:w="3565" w:type="dxa"/>
            <w:vAlign w:val="center"/>
          </w:tcPr>
          <w:p w14:paraId="366DB265" w14:textId="77777777" w:rsidR="00297BE6" w:rsidRPr="00637A57" w:rsidRDefault="0003599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Малассезия</w:t>
            </w:r>
            <w:r w:rsidR="003D44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637A5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фурфур</w:t>
            </w:r>
          </w:p>
        </w:tc>
        <w:tc>
          <w:tcPr>
            <w:tcW w:w="3566" w:type="dxa"/>
            <w:vAlign w:val="center"/>
          </w:tcPr>
          <w:p w14:paraId="296190BA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="0003599C" w:rsidRPr="00637A57">
              <w:rPr>
                <w:rFonts w:ascii="Times New Roman" w:hAnsi="Times New Roman" w:cs="Times New Roman"/>
                <w:sz w:val="22"/>
                <w:szCs w:val="22"/>
              </w:rPr>
              <w:t>иловый, маленький</w:t>
            </w:r>
          </w:p>
        </w:tc>
      </w:tr>
      <w:tr w:rsidR="00297BE6" w:rsidRPr="00637A57" w14:paraId="7F392B6C" w14:textId="77777777" w:rsidTr="00457399">
        <w:trPr>
          <w:trHeight w:val="522"/>
        </w:trPr>
        <w:tc>
          <w:tcPr>
            <w:tcW w:w="3565" w:type="dxa"/>
            <w:vAlign w:val="center"/>
          </w:tcPr>
          <w:p w14:paraId="78E05778" w14:textId="77777777" w:rsidR="00297BE6" w:rsidRPr="00637A57" w:rsidRDefault="0003599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Candidaalbicans</w:t>
            </w:r>
          </w:p>
        </w:tc>
        <w:tc>
          <w:tcPr>
            <w:tcW w:w="3566" w:type="dxa"/>
            <w:vAlign w:val="center"/>
          </w:tcPr>
          <w:p w14:paraId="51889140" w14:textId="77777777" w:rsidR="00297BE6" w:rsidRPr="00457399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ледно-зеленый</w:t>
            </w:r>
            <w:r w:rsidR="0003599C" w:rsidRPr="00637A57">
              <w:rPr>
                <w:rFonts w:ascii="Times New Roman" w:hAnsi="Times New Roman" w:cs="Times New Roman"/>
                <w:sz w:val="22"/>
                <w:szCs w:val="22"/>
              </w:rPr>
              <w:t>,зеленый</w:t>
            </w:r>
          </w:p>
        </w:tc>
      </w:tr>
      <w:tr w:rsidR="00297BE6" w:rsidRPr="00637A57" w14:paraId="1DD18E25" w14:textId="77777777" w:rsidTr="00457399">
        <w:trPr>
          <w:trHeight w:val="431"/>
        </w:trPr>
        <w:tc>
          <w:tcPr>
            <w:tcW w:w="3565" w:type="dxa"/>
            <w:vAlign w:val="center"/>
          </w:tcPr>
          <w:p w14:paraId="4F43D302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Candidaglabrata</w:t>
            </w:r>
          </w:p>
        </w:tc>
        <w:tc>
          <w:tcPr>
            <w:tcW w:w="3566" w:type="dxa"/>
            <w:vAlign w:val="center"/>
          </w:tcPr>
          <w:p w14:paraId="7802C878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кремового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белого</w:t>
            </w:r>
          </w:p>
        </w:tc>
      </w:tr>
      <w:tr w:rsidR="00297BE6" w:rsidRPr="00637A57" w14:paraId="67C717C4" w14:textId="77777777" w:rsidTr="00457399">
        <w:trPr>
          <w:trHeight w:val="692"/>
        </w:trPr>
        <w:tc>
          <w:tcPr>
            <w:tcW w:w="3565" w:type="dxa"/>
            <w:vAlign w:val="center"/>
          </w:tcPr>
          <w:p w14:paraId="0B46E04F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Candidakrusei</w:t>
            </w:r>
          </w:p>
        </w:tc>
        <w:tc>
          <w:tcPr>
            <w:tcW w:w="3566" w:type="dxa"/>
            <w:vAlign w:val="center"/>
          </w:tcPr>
          <w:p w14:paraId="3917F963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урпурного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цвета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расплывчаты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еколонии</w:t>
            </w:r>
          </w:p>
        </w:tc>
      </w:tr>
      <w:tr w:rsidR="00297BE6" w:rsidRPr="00FE794C" w14:paraId="31BD6058" w14:textId="77777777" w:rsidTr="00457399">
        <w:trPr>
          <w:trHeight w:val="702"/>
        </w:trPr>
        <w:tc>
          <w:tcPr>
            <w:tcW w:w="3565" w:type="dxa"/>
            <w:vAlign w:val="center"/>
          </w:tcPr>
          <w:p w14:paraId="5BE79B02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Candidatropicalis</w:t>
            </w:r>
          </w:p>
        </w:tc>
        <w:tc>
          <w:tcPr>
            <w:tcW w:w="3566" w:type="dxa"/>
            <w:vAlign w:val="center"/>
          </w:tcPr>
          <w:p w14:paraId="5F328FA4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иние или синие с металлическим оттенком выпуклые колонии</w:t>
            </w:r>
          </w:p>
        </w:tc>
      </w:tr>
    </w:tbl>
    <w:p w14:paraId="4925DAAC" w14:textId="77777777" w:rsidR="009057FB" w:rsidRDefault="009057FB" w:rsidP="00637A57">
      <w:pPr>
        <w:pStyle w:val="af1"/>
        <w:rPr>
          <w:rFonts w:ascii="Times New Roman" w:eastAsia="Meiryo" w:hAnsi="Times New Roman" w:cs="Times New Roman"/>
          <w:sz w:val="22"/>
          <w:szCs w:val="22"/>
        </w:rPr>
      </w:pPr>
    </w:p>
    <w:p w14:paraId="3B18657D" w14:textId="77777777" w:rsidR="008E28A6" w:rsidRPr="008E28A6" w:rsidRDefault="008E28A6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  <w:bookmarkStart w:id="3" w:name="_GoBack"/>
      <w:bookmarkEnd w:id="3"/>
    </w:p>
    <w:sectPr w:rsidR="008E28A6" w:rsidRPr="008E28A6" w:rsidSect="00987E9F">
      <w:footerReference w:type="default" r:id="rId9"/>
      <w:pgSz w:w="16838" w:h="11906" w:orient="landscape"/>
      <w:pgMar w:top="567" w:right="1134" w:bottom="568" w:left="1134" w:header="708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0F3B" w14:textId="77777777" w:rsidR="00B85BCD" w:rsidRDefault="00B85BCD" w:rsidP="0083031E">
      <w:r>
        <w:separator/>
      </w:r>
    </w:p>
  </w:endnote>
  <w:endnote w:type="continuationSeparator" w:id="0">
    <w:p w14:paraId="559A96E3" w14:textId="77777777" w:rsidR="00B85BCD" w:rsidRDefault="00B85BCD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1AD1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8B72" w14:textId="77777777" w:rsidR="00B85BCD" w:rsidRDefault="00B85BCD" w:rsidP="0083031E">
      <w:r>
        <w:separator/>
      </w:r>
    </w:p>
  </w:footnote>
  <w:footnote w:type="continuationSeparator" w:id="0">
    <w:p w14:paraId="59A69BEF" w14:textId="77777777" w:rsidR="00B85BCD" w:rsidRDefault="00B85BCD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16AA2"/>
    <w:multiLevelType w:val="multilevel"/>
    <w:tmpl w:val="2D6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FB"/>
    <w:rsid w:val="00005704"/>
    <w:rsid w:val="000105A1"/>
    <w:rsid w:val="00012E1D"/>
    <w:rsid w:val="00023E9E"/>
    <w:rsid w:val="00027A81"/>
    <w:rsid w:val="00035671"/>
    <w:rsid w:val="0003599C"/>
    <w:rsid w:val="00053551"/>
    <w:rsid w:val="000538E8"/>
    <w:rsid w:val="00056F77"/>
    <w:rsid w:val="00063484"/>
    <w:rsid w:val="000732E9"/>
    <w:rsid w:val="00074A60"/>
    <w:rsid w:val="000839F6"/>
    <w:rsid w:val="000916C8"/>
    <w:rsid w:val="00097472"/>
    <w:rsid w:val="000B52FE"/>
    <w:rsid w:val="000B5438"/>
    <w:rsid w:val="000C1ACB"/>
    <w:rsid w:val="000C2ABC"/>
    <w:rsid w:val="000D1C2E"/>
    <w:rsid w:val="000D4061"/>
    <w:rsid w:val="000D578E"/>
    <w:rsid w:val="000F007E"/>
    <w:rsid w:val="000F2A0C"/>
    <w:rsid w:val="000F3285"/>
    <w:rsid w:val="0010722A"/>
    <w:rsid w:val="00107A23"/>
    <w:rsid w:val="001231A2"/>
    <w:rsid w:val="001304DD"/>
    <w:rsid w:val="00133FA5"/>
    <w:rsid w:val="00144B1A"/>
    <w:rsid w:val="001467BD"/>
    <w:rsid w:val="00153750"/>
    <w:rsid w:val="00155960"/>
    <w:rsid w:val="001667F4"/>
    <w:rsid w:val="001915EB"/>
    <w:rsid w:val="001941FB"/>
    <w:rsid w:val="001A2A71"/>
    <w:rsid w:val="001A487A"/>
    <w:rsid w:val="001B2793"/>
    <w:rsid w:val="001C4EDD"/>
    <w:rsid w:val="001D559E"/>
    <w:rsid w:val="001E219E"/>
    <w:rsid w:val="001F6E47"/>
    <w:rsid w:val="001F7605"/>
    <w:rsid w:val="002017ED"/>
    <w:rsid w:val="0022050B"/>
    <w:rsid w:val="002229A8"/>
    <w:rsid w:val="00225829"/>
    <w:rsid w:val="002407C0"/>
    <w:rsid w:val="00242B94"/>
    <w:rsid w:val="0025706B"/>
    <w:rsid w:val="0025749A"/>
    <w:rsid w:val="00270EB2"/>
    <w:rsid w:val="002710EE"/>
    <w:rsid w:val="00274DF4"/>
    <w:rsid w:val="00275418"/>
    <w:rsid w:val="00275808"/>
    <w:rsid w:val="0027663C"/>
    <w:rsid w:val="00294D7E"/>
    <w:rsid w:val="00295D86"/>
    <w:rsid w:val="00297BE6"/>
    <w:rsid w:val="002A7032"/>
    <w:rsid w:val="002B17CB"/>
    <w:rsid w:val="002B4CF1"/>
    <w:rsid w:val="002B7BB1"/>
    <w:rsid w:val="002C3404"/>
    <w:rsid w:val="002C38C9"/>
    <w:rsid w:val="002C3C23"/>
    <w:rsid w:val="002C5558"/>
    <w:rsid w:val="002D1549"/>
    <w:rsid w:val="002D3FF5"/>
    <w:rsid w:val="002E01A9"/>
    <w:rsid w:val="002E1217"/>
    <w:rsid w:val="002F0536"/>
    <w:rsid w:val="00332F47"/>
    <w:rsid w:val="00345CDF"/>
    <w:rsid w:val="00346F09"/>
    <w:rsid w:val="00354730"/>
    <w:rsid w:val="00364D92"/>
    <w:rsid w:val="0038366C"/>
    <w:rsid w:val="003A066A"/>
    <w:rsid w:val="003A6F5A"/>
    <w:rsid w:val="003B2266"/>
    <w:rsid w:val="003B2DEF"/>
    <w:rsid w:val="003B3D61"/>
    <w:rsid w:val="003C09FE"/>
    <w:rsid w:val="003C62D4"/>
    <w:rsid w:val="003D15E3"/>
    <w:rsid w:val="003D44E9"/>
    <w:rsid w:val="003D6DBA"/>
    <w:rsid w:val="003E6A20"/>
    <w:rsid w:val="003F4B6A"/>
    <w:rsid w:val="00403513"/>
    <w:rsid w:val="0040419E"/>
    <w:rsid w:val="00405E2E"/>
    <w:rsid w:val="00424B92"/>
    <w:rsid w:val="00425EA3"/>
    <w:rsid w:val="004266A2"/>
    <w:rsid w:val="00436098"/>
    <w:rsid w:val="00437B49"/>
    <w:rsid w:val="00444DCC"/>
    <w:rsid w:val="00447D50"/>
    <w:rsid w:val="00452FF7"/>
    <w:rsid w:val="00456AFB"/>
    <w:rsid w:val="00457399"/>
    <w:rsid w:val="004663EB"/>
    <w:rsid w:val="00473E7A"/>
    <w:rsid w:val="004823E7"/>
    <w:rsid w:val="00485548"/>
    <w:rsid w:val="004900CB"/>
    <w:rsid w:val="00494502"/>
    <w:rsid w:val="004A640E"/>
    <w:rsid w:val="004B64AA"/>
    <w:rsid w:val="004C49B5"/>
    <w:rsid w:val="004C7B71"/>
    <w:rsid w:val="004D6A82"/>
    <w:rsid w:val="004E2EDA"/>
    <w:rsid w:val="004E75A8"/>
    <w:rsid w:val="004E7A7B"/>
    <w:rsid w:val="004F2594"/>
    <w:rsid w:val="0052374E"/>
    <w:rsid w:val="00526686"/>
    <w:rsid w:val="00534F63"/>
    <w:rsid w:val="00535888"/>
    <w:rsid w:val="005441A8"/>
    <w:rsid w:val="005518C7"/>
    <w:rsid w:val="00551B0C"/>
    <w:rsid w:val="00564138"/>
    <w:rsid w:val="005665C3"/>
    <w:rsid w:val="00566D67"/>
    <w:rsid w:val="00586892"/>
    <w:rsid w:val="00591B8B"/>
    <w:rsid w:val="005A39DB"/>
    <w:rsid w:val="005A6AB6"/>
    <w:rsid w:val="005B137B"/>
    <w:rsid w:val="005B1F4D"/>
    <w:rsid w:val="005B4BCF"/>
    <w:rsid w:val="005B7560"/>
    <w:rsid w:val="005C3A06"/>
    <w:rsid w:val="005C7A2A"/>
    <w:rsid w:val="005C7E2F"/>
    <w:rsid w:val="00604DC4"/>
    <w:rsid w:val="00607F04"/>
    <w:rsid w:val="00610A3E"/>
    <w:rsid w:val="00613B2F"/>
    <w:rsid w:val="00615623"/>
    <w:rsid w:val="00630911"/>
    <w:rsid w:val="0063094D"/>
    <w:rsid w:val="006349BA"/>
    <w:rsid w:val="00637A57"/>
    <w:rsid w:val="00644DF8"/>
    <w:rsid w:val="006466AF"/>
    <w:rsid w:val="006556EF"/>
    <w:rsid w:val="00662A2F"/>
    <w:rsid w:val="0066340E"/>
    <w:rsid w:val="00682B41"/>
    <w:rsid w:val="006968FF"/>
    <w:rsid w:val="006B2E13"/>
    <w:rsid w:val="006C29C7"/>
    <w:rsid w:val="006D566C"/>
    <w:rsid w:val="006E22AE"/>
    <w:rsid w:val="00701F20"/>
    <w:rsid w:val="00702776"/>
    <w:rsid w:val="00705493"/>
    <w:rsid w:val="00706941"/>
    <w:rsid w:val="0071002D"/>
    <w:rsid w:val="00721982"/>
    <w:rsid w:val="00734FA4"/>
    <w:rsid w:val="00736E22"/>
    <w:rsid w:val="007373A7"/>
    <w:rsid w:val="00747FBA"/>
    <w:rsid w:val="0075016A"/>
    <w:rsid w:val="0075089D"/>
    <w:rsid w:val="00750C99"/>
    <w:rsid w:val="007621ED"/>
    <w:rsid w:val="0076505B"/>
    <w:rsid w:val="0077007E"/>
    <w:rsid w:val="0077170D"/>
    <w:rsid w:val="00773818"/>
    <w:rsid w:val="007756E5"/>
    <w:rsid w:val="00775FD0"/>
    <w:rsid w:val="00777902"/>
    <w:rsid w:val="00786ABB"/>
    <w:rsid w:val="00792A78"/>
    <w:rsid w:val="0079770F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817264"/>
    <w:rsid w:val="0082091F"/>
    <w:rsid w:val="0082467A"/>
    <w:rsid w:val="0083031E"/>
    <w:rsid w:val="008360F9"/>
    <w:rsid w:val="0084191F"/>
    <w:rsid w:val="00842CE1"/>
    <w:rsid w:val="008445AC"/>
    <w:rsid w:val="00846C75"/>
    <w:rsid w:val="00853381"/>
    <w:rsid w:val="00865C0A"/>
    <w:rsid w:val="00883BF9"/>
    <w:rsid w:val="008867B7"/>
    <w:rsid w:val="00886922"/>
    <w:rsid w:val="00892315"/>
    <w:rsid w:val="008A0271"/>
    <w:rsid w:val="008A21E0"/>
    <w:rsid w:val="008A7192"/>
    <w:rsid w:val="008A794B"/>
    <w:rsid w:val="008B4AC4"/>
    <w:rsid w:val="008E28A6"/>
    <w:rsid w:val="008E59A2"/>
    <w:rsid w:val="008F018A"/>
    <w:rsid w:val="009013AD"/>
    <w:rsid w:val="009057FB"/>
    <w:rsid w:val="0093169D"/>
    <w:rsid w:val="00936362"/>
    <w:rsid w:val="00945B22"/>
    <w:rsid w:val="00951D4F"/>
    <w:rsid w:val="009526E7"/>
    <w:rsid w:val="00963EBF"/>
    <w:rsid w:val="00970D0F"/>
    <w:rsid w:val="00987E9F"/>
    <w:rsid w:val="00995C92"/>
    <w:rsid w:val="0099739E"/>
    <w:rsid w:val="009A05F0"/>
    <w:rsid w:val="009A0E0A"/>
    <w:rsid w:val="009A123A"/>
    <w:rsid w:val="009B7CBD"/>
    <w:rsid w:val="009B7FF1"/>
    <w:rsid w:val="00A05FF8"/>
    <w:rsid w:val="00A172B9"/>
    <w:rsid w:val="00A34331"/>
    <w:rsid w:val="00A344ED"/>
    <w:rsid w:val="00A35703"/>
    <w:rsid w:val="00A36D3F"/>
    <w:rsid w:val="00A457F6"/>
    <w:rsid w:val="00A4676E"/>
    <w:rsid w:val="00A475B9"/>
    <w:rsid w:val="00A6134B"/>
    <w:rsid w:val="00A6575E"/>
    <w:rsid w:val="00A70A49"/>
    <w:rsid w:val="00A74F01"/>
    <w:rsid w:val="00A906C3"/>
    <w:rsid w:val="00A9132E"/>
    <w:rsid w:val="00A934DF"/>
    <w:rsid w:val="00A959BA"/>
    <w:rsid w:val="00A973BA"/>
    <w:rsid w:val="00AA0B4E"/>
    <w:rsid w:val="00AA2149"/>
    <w:rsid w:val="00AA2656"/>
    <w:rsid w:val="00AB1B4E"/>
    <w:rsid w:val="00AB1B5C"/>
    <w:rsid w:val="00AB4B09"/>
    <w:rsid w:val="00AC7C56"/>
    <w:rsid w:val="00AD0612"/>
    <w:rsid w:val="00AE4AF9"/>
    <w:rsid w:val="00AF0D8C"/>
    <w:rsid w:val="00AF0DB1"/>
    <w:rsid w:val="00AF5933"/>
    <w:rsid w:val="00B0460F"/>
    <w:rsid w:val="00B07DBB"/>
    <w:rsid w:val="00B124E1"/>
    <w:rsid w:val="00B1737F"/>
    <w:rsid w:val="00B20593"/>
    <w:rsid w:val="00B512B9"/>
    <w:rsid w:val="00B67D53"/>
    <w:rsid w:val="00B67ECA"/>
    <w:rsid w:val="00B846ED"/>
    <w:rsid w:val="00B85BCD"/>
    <w:rsid w:val="00B9156D"/>
    <w:rsid w:val="00B94C1E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3283A"/>
    <w:rsid w:val="00C43952"/>
    <w:rsid w:val="00C46317"/>
    <w:rsid w:val="00C478C9"/>
    <w:rsid w:val="00C538B8"/>
    <w:rsid w:val="00C73DE2"/>
    <w:rsid w:val="00C75D6F"/>
    <w:rsid w:val="00C84A01"/>
    <w:rsid w:val="00C953B7"/>
    <w:rsid w:val="00CA6FDD"/>
    <w:rsid w:val="00CB1019"/>
    <w:rsid w:val="00CC7C39"/>
    <w:rsid w:val="00CE05E4"/>
    <w:rsid w:val="00CE0F75"/>
    <w:rsid w:val="00CE7823"/>
    <w:rsid w:val="00CF594C"/>
    <w:rsid w:val="00D004CA"/>
    <w:rsid w:val="00D038CD"/>
    <w:rsid w:val="00D15D92"/>
    <w:rsid w:val="00D16281"/>
    <w:rsid w:val="00D167BA"/>
    <w:rsid w:val="00D20E31"/>
    <w:rsid w:val="00D23421"/>
    <w:rsid w:val="00D309A9"/>
    <w:rsid w:val="00D34313"/>
    <w:rsid w:val="00D43523"/>
    <w:rsid w:val="00D47079"/>
    <w:rsid w:val="00D67676"/>
    <w:rsid w:val="00D67A26"/>
    <w:rsid w:val="00D75763"/>
    <w:rsid w:val="00D80ACC"/>
    <w:rsid w:val="00D81EEA"/>
    <w:rsid w:val="00D82314"/>
    <w:rsid w:val="00D82391"/>
    <w:rsid w:val="00D8395D"/>
    <w:rsid w:val="00D95B21"/>
    <w:rsid w:val="00DA0B47"/>
    <w:rsid w:val="00DA214A"/>
    <w:rsid w:val="00DA41F3"/>
    <w:rsid w:val="00DA7651"/>
    <w:rsid w:val="00DB6367"/>
    <w:rsid w:val="00DC0FE6"/>
    <w:rsid w:val="00DC37C1"/>
    <w:rsid w:val="00DD18D6"/>
    <w:rsid w:val="00DD60F4"/>
    <w:rsid w:val="00DE1794"/>
    <w:rsid w:val="00DE1EFF"/>
    <w:rsid w:val="00DF0989"/>
    <w:rsid w:val="00E101ED"/>
    <w:rsid w:val="00E114BC"/>
    <w:rsid w:val="00E176F8"/>
    <w:rsid w:val="00E50707"/>
    <w:rsid w:val="00E52D66"/>
    <w:rsid w:val="00E54623"/>
    <w:rsid w:val="00E5463B"/>
    <w:rsid w:val="00E606D6"/>
    <w:rsid w:val="00E7073A"/>
    <w:rsid w:val="00E71062"/>
    <w:rsid w:val="00E7796B"/>
    <w:rsid w:val="00E965E5"/>
    <w:rsid w:val="00EB0D39"/>
    <w:rsid w:val="00EB2EEE"/>
    <w:rsid w:val="00ED5CB5"/>
    <w:rsid w:val="00ED7EFD"/>
    <w:rsid w:val="00EE0B03"/>
    <w:rsid w:val="00EF18C4"/>
    <w:rsid w:val="00F01046"/>
    <w:rsid w:val="00F01817"/>
    <w:rsid w:val="00F30F29"/>
    <w:rsid w:val="00F52E68"/>
    <w:rsid w:val="00F53919"/>
    <w:rsid w:val="00F552C4"/>
    <w:rsid w:val="00F57781"/>
    <w:rsid w:val="00F723BF"/>
    <w:rsid w:val="00F769C3"/>
    <w:rsid w:val="00F873DE"/>
    <w:rsid w:val="00F9473B"/>
    <w:rsid w:val="00FA7892"/>
    <w:rsid w:val="00FB5167"/>
    <w:rsid w:val="00FD1D44"/>
    <w:rsid w:val="00FD52D3"/>
    <w:rsid w:val="00FE11FC"/>
    <w:rsid w:val="00FE24DB"/>
    <w:rsid w:val="00FE458B"/>
    <w:rsid w:val="00FE794C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2DE1"/>
  <w15:docId w15:val="{AD9A97CA-981B-4664-9CDC-6EAA5ED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table" w:styleId="ae">
    <w:name w:val="Table Grid"/>
    <w:basedOn w:val="a1"/>
    <w:uiPriority w:val="59"/>
    <w:rsid w:val="0029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03599C"/>
    <w:pPr>
      <w:autoSpaceDE w:val="0"/>
      <w:autoSpaceDN w:val="0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character" w:customStyle="1" w:styleId="af0">
    <w:name w:val="Основной текст Знак"/>
    <w:basedOn w:val="a0"/>
    <w:link w:val="af"/>
    <w:uiPriority w:val="1"/>
    <w:rsid w:val="0003599C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f1">
    <w:name w:val="No Spacing"/>
    <w:uiPriority w:val="1"/>
    <w:qFormat/>
    <w:rsid w:val="00551B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f2">
    <w:name w:val="Normal (Web)"/>
    <w:basedOn w:val="a"/>
    <w:uiPriority w:val="99"/>
    <w:unhideWhenUsed/>
    <w:rsid w:val="00FE79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2021-10-26T17:12:00Z</cp:lastPrinted>
  <dcterms:created xsi:type="dcterms:W3CDTF">2023-06-15T11:46:00Z</dcterms:created>
  <dcterms:modified xsi:type="dcterms:W3CDTF">2023-09-13T21:30:00Z</dcterms:modified>
</cp:coreProperties>
</file>